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0"/>
          <w:szCs w:val="20"/>
        </w:rPr>
      </w:pPr>
      <w:r>
        <w:rPr>
          <w:rFonts w:ascii="Verdana" w:hAnsi="Verdana"/>
          <w:sz w:val="20"/>
          <w:szCs w:val="20"/>
        </w:rPr>
      </w:r>
    </w:p>
    <w:p>
      <w:pPr>
        <w:pStyle w:val="Normal"/>
        <w:spacing w:lineRule="auto" w:line="276"/>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lineRule="auto" w:line="276"/>
        <w:jc w:val="center"/>
        <w:rPr>
          <w:rFonts w:ascii="Verdana" w:hAnsi="Verdana"/>
          <w:sz w:val="20"/>
          <w:szCs w:val="20"/>
        </w:rPr>
      </w:pPr>
      <w:r>
        <w:rPr>
          <w:rFonts w:cs="Arial" w:ascii="Verdana" w:hAnsi="Verdana"/>
          <w:b/>
          <w:bCs/>
          <w:smallCaps/>
          <w:color w:val="000000"/>
          <w:sz w:val="20"/>
          <w:szCs w:val="20"/>
        </w:rPr>
        <w:t>PREGÃO ELETRÔNICO Nº 041/2025</w:t>
      </w:r>
    </w:p>
    <w:p>
      <w:pPr>
        <w:pStyle w:val="Normal"/>
        <w:spacing w:lineRule="auto" w:line="276"/>
        <w:jc w:val="center"/>
        <w:rPr>
          <w:rFonts w:ascii="Verdana" w:hAnsi="Verdana"/>
          <w:sz w:val="20"/>
          <w:szCs w:val="20"/>
        </w:rPr>
      </w:pPr>
      <w:r>
        <w:rPr>
          <w:rFonts w:cs="Arial" w:ascii="Verdana" w:hAnsi="Verdana"/>
          <w:b/>
          <w:bCs/>
          <w:smallCaps/>
          <w:color w:val="000000"/>
          <w:sz w:val="20"/>
          <w:szCs w:val="20"/>
        </w:rPr>
        <w:t>(Processo Administrativo n° 02282/2025 de 26/03/2025)</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23/01/2026</w:t>
      </w:r>
      <w:r>
        <w:rPr>
          <w:rFonts w:cs="Arial" w:ascii="Verdana" w:hAnsi="Verdana"/>
          <w:b/>
          <w:bCs/>
          <w:color w:val="000000"/>
          <w:sz w:val="20"/>
          <w:szCs w:val="20"/>
        </w:rPr>
        <w:t>.</w:t>
      </w:r>
    </w:p>
    <w:p>
      <w:pPr>
        <w:pStyle w:val="Normal"/>
        <w:spacing w:lineRule="auto" w:line="276"/>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276"/>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ormal"/>
        <w:spacing w:lineRule="auto" w:line="276"/>
        <w:rPr>
          <w:rFonts w:ascii="Verdana" w:hAnsi="Verdana"/>
          <w:sz w:val="20"/>
          <w:szCs w:val="20"/>
        </w:rPr>
      </w:pPr>
      <w:r>
        <w:rPr>
          <w:rFonts w:cs="Arial" w:ascii="Verdana" w:hAnsi="Verdana"/>
          <w:b/>
          <w:bCs/>
          <w:color w:val="000000"/>
          <w:sz w:val="20"/>
          <w:szCs w:val="20"/>
          <w:u w:val="single"/>
        </w:rPr>
        <w:t>A LICITAÇÃO OCORRERÁ COM EXCLUSIVIDADE PARA AS ME/EPP, EXCETO OS ITENS 10, 11, 15, 16, 26, 28, 32, 57, 59 e 60.</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OBJETO</w:t>
      </w:r>
    </w:p>
    <w:p>
      <w:pPr>
        <w:pStyle w:val="ListParagraph"/>
        <w:spacing w:lineRule="auto" w:line="276" w:before="0" w:after="0"/>
        <w:ind w:left="0"/>
        <w:contextualSpacing w:val="false"/>
        <w:jc w:val="both"/>
        <w:rPr/>
      </w:pPr>
      <w:r>
        <w:rPr>
          <w:rFonts w:cs="Arial" w:ascii="Verdana" w:hAnsi="Verdana"/>
          <w:color w:val="000000"/>
          <w:sz w:val="20"/>
          <w:szCs w:val="20"/>
        </w:rPr>
        <w:t xml:space="preserve">1.1 O objeto da presente licitação é a </w:t>
      </w:r>
      <w:r>
        <w:rPr>
          <w:rFonts w:eastAsia="Batang, 바탕" w:ascii="Verdana" w:hAnsi="Verdana"/>
          <w:b/>
          <w:i/>
          <w:iCs/>
          <w:sz w:val="20"/>
          <w:szCs w:val="20"/>
        </w:rPr>
        <w:t>Constituição de Ata de Registro de Preços,</w:t>
      </w:r>
      <w:r>
        <w:rPr>
          <w:rFonts w:eastAsia="Batang, 바탕" w:ascii="Verdana" w:hAnsi="Verdana"/>
          <w:iCs/>
          <w:sz w:val="20"/>
          <w:szCs w:val="20"/>
        </w:rPr>
        <w:t xml:space="preserve"> para futura e eventual </w:t>
      </w:r>
      <w:r>
        <w:rPr>
          <w:rFonts w:eastAsia="Times New Roman" w:ascii="Verdana" w:hAnsi="Verdana"/>
          <w:iCs/>
          <w:sz w:val="20"/>
          <w:szCs w:val="20"/>
        </w:rPr>
        <w:t>aquisição</w:t>
      </w:r>
      <w:r>
        <w:rPr>
          <w:rFonts w:eastAsia="Batang, 바탕" w:ascii="Verdana" w:hAnsi="Verdana"/>
          <w:iCs/>
          <w:sz w:val="20"/>
          <w:szCs w:val="20"/>
        </w:rPr>
        <w:t xml:space="preserve"> de materiais diversos de construção, para atendimento das necessidades de manutenção corretiva e preventiva e reparos gerais para os bens patrimoniais da Prefeitura Municipal de São Gabriel da Palha</w:t>
      </w:r>
      <w:r>
        <w:rPr>
          <w:rFonts w:cs="Arial"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jc w:val="both"/>
        <w:rPr>
          <w:rFonts w:ascii="Verdana" w:hAnsi="Verdana" w:cs="Arial"/>
          <w:iCs/>
          <w:color w:themeColor="text1" w:val="000000"/>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DO REGISTRO DE PREÇOS </w:t>
      </w:r>
    </w:p>
    <w:p>
      <w:pPr>
        <w:pStyle w:val="Normal"/>
        <w:spacing w:lineRule="auto" w:line="276"/>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DA PARTICIPAÇÃO NO PREGÃO.</w:t>
      </w:r>
    </w:p>
    <w:p>
      <w:pPr>
        <w:pStyle w:val="Normal"/>
        <w:spacing w:lineRule="auto" w:line="276"/>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jc w:val="both"/>
        <w:rPr>
          <w:rFonts w:ascii="Verdana" w:hAnsi="Verdana"/>
          <w:sz w:val="20"/>
          <w:szCs w:val="20"/>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spacing w:lineRule="auto" w:line="276"/>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 xml:space="preserve">a </w:t>
      </w:r>
      <w:r>
        <w:rPr>
          <w:rFonts w:cs="Arial" w:ascii="Verdana" w:hAnsi="Verdana"/>
          <w:b/>
          <w:bCs/>
          <w:i/>
          <w:iCs/>
          <w:sz w:val="20"/>
          <w:szCs w:val="20"/>
          <w:highlight w:val="yellow"/>
          <w:u w:val="single"/>
        </w:rPr>
        <w:t>CERTIDÃO EXPEDIDA PELA JUNTA COMERCIAL</w:t>
      </w:r>
      <w:r>
        <w:rPr>
          <w:rFonts w:cs="Arial" w:ascii="Verdana" w:hAnsi="Verdana"/>
          <w:b/>
          <w:bCs/>
          <w:sz w:val="20"/>
          <w:szCs w:val="20"/>
        </w:rPr>
        <w:t xml:space="preserve"> da região sede da empresa,</w:t>
      </w:r>
      <w:r>
        <w:rPr>
          <w:rFonts w:cs="Arial" w:ascii="Verdana" w:hAnsi="Verdana"/>
          <w:sz w:val="20"/>
          <w:szCs w:val="20"/>
        </w:rPr>
        <w:t xml:space="preserve"> demonstrando a situação de enquadramento, emitida a partir do ano de </w:t>
      </w:r>
      <w:r>
        <w:rPr>
          <w:rFonts w:cs="Arial" w:ascii="Verdana" w:hAnsi="Verdana"/>
          <w:b/>
          <w:sz w:val="20"/>
          <w:szCs w:val="20"/>
          <w:highlight w:val="yellow"/>
        </w:rPr>
        <w:t>2025</w:t>
      </w:r>
      <w:r>
        <w:rPr>
          <w:rFonts w:cs="Arial" w:ascii="Verdana" w:hAnsi="Verdana"/>
          <w:b/>
          <w:sz w:val="20"/>
          <w:szCs w:val="20"/>
        </w:rPr>
        <w:t>,</w:t>
      </w:r>
      <w:r>
        <w:rPr>
          <w:rFonts w:cs="Arial" w:ascii="Verdana" w:hAnsi="Verdana"/>
          <w:b/>
          <w:color w:val="FF0000"/>
          <w:sz w:val="20"/>
          <w:szCs w:val="20"/>
        </w:rPr>
        <w:t xml:space="preserve">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08"/>
          <w:tab w:val="left" w:pos="1440" w:leader="none"/>
        </w:tabs>
        <w:snapToGrid w:val="false"/>
        <w:spacing w:lineRule="auto" w:line="276"/>
        <w:jc w:val="both"/>
        <w:rPr>
          <w:rFonts w:ascii="Verdana" w:hAnsi="Verdana"/>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jc w:val="both"/>
        <w:rPr>
          <w:rFonts w:ascii="Verdana" w:hAnsi="Verdana"/>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0" w:after="0"/>
        <w:ind w:hanging="0" w:left="0"/>
        <w:rPr>
          <w:rFonts w:ascii="Verdana" w:hAnsi="Verdana"/>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0" w:after="0"/>
        <w:ind w:hanging="0" w:left="0"/>
        <w:rPr>
          <w:rFonts w:ascii="Verdana" w:hAnsi="Verdana"/>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0" w:after="0"/>
        <w:ind w:hanging="0" w:left="0"/>
        <w:rPr>
          <w:rFonts w:ascii="Verdana" w:hAnsi="Verdana"/>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0" w:after="0"/>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76"/>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0" w:after="0"/>
        <w:ind w:hanging="0" w:left="0"/>
        <w:contextualSpacing w:val="false"/>
        <w:jc w:val="both"/>
        <w:rPr/>
      </w:pPr>
      <w:bookmarkStart w:id="10"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0"/>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0" w:after="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0" w:after="0"/>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0" w:after="0"/>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rPr>
          <w:rFonts w:ascii="Verdana" w:hAnsi="Verdana" w:cs="Arial"/>
          <w:sz w:val="20"/>
          <w:szCs w:val="20"/>
        </w:rPr>
      </w:pPr>
      <w:r>
        <w:rPr>
          <w:rFonts w:cs="Arial"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0" w:after="0"/>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0" w:after="0"/>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0" w:after="0"/>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0" w:after="0"/>
        <w:rPr>
          <w:rFonts w:ascii="Verdana" w:hAnsi="Verdana"/>
        </w:rPr>
      </w:pPr>
      <w:r>
        <w:rPr>
          <w:rFonts w:cs="Arial" w:ascii="Verdana" w:hAnsi="Verdana"/>
        </w:rPr>
        <w:t>16. DO REAJUSTAMENTO EM SENTIDO GERAL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17. DA ACEITAÇÃO DO OBJETO E DA FISCALIZAÇÃO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lang w:eastAsia="en-US"/>
        </w:rPr>
        <w:t>18. DAS OBRIGAÇÕES DA CONTRATANTE E DA CONTRATADA</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20. DAS SANÇÕES ADMINISTRATIVAS.</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0" w:after="0"/>
        <w:ind w:hanging="0" w:left="0"/>
        <w:rPr>
          <w:rFonts w:ascii="Verdana" w:hAnsi="Verdana"/>
        </w:rPr>
      </w:pPr>
      <w:r>
        <w:rPr>
          <w:rFonts w:ascii="Verdana" w:hAnsi="Verdana"/>
        </w:rPr>
        <w:t>20.2.1 advertência;</w:t>
      </w:r>
    </w:p>
    <w:p>
      <w:pPr>
        <w:pStyle w:val="Nivel2"/>
        <w:numPr>
          <w:ilvl w:val="0"/>
          <w:numId w:val="0"/>
        </w:numPr>
        <w:spacing w:before="0" w:after="0"/>
        <w:ind w:hanging="0" w:left="0"/>
        <w:rPr>
          <w:rFonts w:ascii="Verdana" w:hAnsi="Verdana"/>
        </w:rPr>
      </w:pPr>
      <w:r>
        <w:rPr>
          <w:rFonts w:ascii="Verdana" w:hAnsi="Verdana"/>
        </w:rPr>
        <w:t>20.2.2 multa;</w:t>
      </w:r>
    </w:p>
    <w:p>
      <w:pPr>
        <w:pStyle w:val="Nivel2"/>
        <w:numPr>
          <w:ilvl w:val="0"/>
          <w:numId w:val="0"/>
        </w:numPr>
        <w:spacing w:before="0" w:after="0"/>
        <w:ind w:hanging="0" w:left="0"/>
        <w:rPr>
          <w:rFonts w:ascii="Verdana" w:hAnsi="Verdana"/>
        </w:rPr>
      </w:pPr>
      <w:r>
        <w:rPr>
          <w:rFonts w:ascii="Verdana" w:hAnsi="Verdana"/>
        </w:rPr>
        <w:t>20.2.3 impedimento de licitar e contratar e</w:t>
      </w:r>
    </w:p>
    <w:p>
      <w:pPr>
        <w:pStyle w:val="Nivel2"/>
        <w:numPr>
          <w:ilvl w:val="0"/>
          <w:numId w:val="0"/>
        </w:numPr>
        <w:spacing w:before="0" w:after="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0" w:after="0"/>
        <w:ind w:hanging="0" w:left="0"/>
        <w:rPr>
          <w:rFonts w:ascii="Verdana" w:hAnsi="Verdana"/>
        </w:rPr>
      </w:pPr>
      <w:r>
        <w:rPr>
          <w:rFonts w:ascii="Verdana" w:hAnsi="Verdana"/>
        </w:rPr>
        <w:t>20.3 Na aplicação das sanções serão considerados:</w:t>
      </w:r>
    </w:p>
    <w:p>
      <w:pPr>
        <w:pStyle w:val="Nivel2"/>
        <w:numPr>
          <w:ilvl w:val="0"/>
          <w:numId w:val="0"/>
        </w:numPr>
        <w:spacing w:before="0" w:after="0"/>
        <w:ind w:hanging="0" w:left="0"/>
        <w:rPr>
          <w:rFonts w:ascii="Verdana" w:hAnsi="Verdana"/>
        </w:rPr>
      </w:pPr>
      <w:r>
        <w:rPr>
          <w:rFonts w:ascii="Verdana" w:hAnsi="Verdana"/>
        </w:rPr>
        <w:t>20.3.1 a natureza e a gravidade da infração cometida.</w:t>
      </w:r>
    </w:p>
    <w:p>
      <w:pPr>
        <w:pStyle w:val="Nivel2"/>
        <w:numPr>
          <w:ilvl w:val="0"/>
          <w:numId w:val="0"/>
        </w:numPr>
        <w:spacing w:before="0" w:after="0"/>
        <w:ind w:hanging="0" w:left="0"/>
        <w:rPr>
          <w:rFonts w:ascii="Verdana" w:hAnsi="Verdana"/>
        </w:rPr>
      </w:pPr>
      <w:r>
        <w:rPr>
          <w:rFonts w:ascii="Verdana" w:hAnsi="Verdana"/>
        </w:rPr>
        <w:t>20.3.2 as peculiaridades do caso concreto</w:t>
      </w:r>
    </w:p>
    <w:p>
      <w:pPr>
        <w:pStyle w:val="Nivel2"/>
        <w:numPr>
          <w:ilvl w:val="0"/>
          <w:numId w:val="0"/>
        </w:numPr>
        <w:spacing w:before="0" w:after="0"/>
        <w:ind w:hanging="0" w:left="0"/>
        <w:rPr>
          <w:rFonts w:ascii="Verdana" w:hAnsi="Verdana"/>
        </w:rPr>
      </w:pPr>
      <w:r>
        <w:rPr>
          <w:rFonts w:ascii="Verdana" w:hAnsi="Verdana"/>
        </w:rPr>
        <w:t>20.3.3 as circunstâncias agravantes ou atenuantes</w:t>
      </w:r>
    </w:p>
    <w:p>
      <w:pPr>
        <w:pStyle w:val="Nivel2"/>
        <w:numPr>
          <w:ilvl w:val="0"/>
          <w:numId w:val="0"/>
        </w:numPr>
        <w:spacing w:before="0" w:after="0"/>
        <w:ind w:hanging="0" w:left="0"/>
        <w:rPr>
          <w:rFonts w:ascii="Verdana" w:hAnsi="Verdana"/>
        </w:rPr>
      </w:pPr>
      <w:r>
        <w:rPr>
          <w:rFonts w:ascii="Verdana" w:hAnsi="Verdana"/>
        </w:rPr>
        <w:t>20.3.4 os danos que dela provierem para a Administração Pública</w:t>
      </w:r>
    </w:p>
    <w:p>
      <w:pPr>
        <w:pStyle w:val="Nivel2"/>
        <w:numPr>
          <w:ilvl w:val="0"/>
          <w:numId w:val="0"/>
        </w:numPr>
        <w:spacing w:before="0" w:after="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before="0" w:after="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0" w:after="0"/>
        <w:ind w:hanging="0" w:left="0"/>
        <w:rPr>
          <w:rFonts w:ascii="Verdana" w:hAnsi="Verdana"/>
        </w:rPr>
      </w:pPr>
      <w:r>
        <w:rPr>
          <w:rFonts w:ascii="Verdana" w:hAnsi="Verdana"/>
        </w:rPr>
        <w:t xml:space="preserve">20.4.1 </w:t>
      </w:r>
      <w:bookmarkStart w:id="18" w:name="_Hlk113876035"/>
      <w:bookmarkStart w:id="19" w:name="_Hlk113876035_Copia_1"/>
      <w:r>
        <w:rPr>
          <w:rFonts w:ascii="Verdana" w:hAnsi="Verdana"/>
        </w:rPr>
        <w:t>Para as infrações previstas nos itens 20.1.1, 20.1.2 e 20.1.3, a multa será de 5% do valor do contrato licitado.</w:t>
      </w:r>
      <w:bookmarkEnd w:id="18"/>
      <w:bookmarkEnd w:id="19"/>
    </w:p>
    <w:p>
      <w:pPr>
        <w:pStyle w:val="Nivel2"/>
        <w:numPr>
          <w:ilvl w:val="0"/>
          <w:numId w:val="0"/>
        </w:numPr>
        <w:spacing w:before="0" w:after="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before="0" w:after="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0" w:after="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0" w:after="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0" w:after="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0" w:after="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0" w:after="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0" w:after="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0" w:after="0"/>
        <w:rPr>
          <w:rFonts w:ascii="Verdana" w:hAnsi="Verdana"/>
        </w:rPr>
      </w:pPr>
      <w:r>
        <w:rPr>
          <w:rFonts w:cs="Arial" w:ascii="Verdana" w:hAnsi="Verdana"/>
        </w:rPr>
        <w:t>21. DA IMPUGNAÇÃO AO EDITAL E DO PEDIDO DE ESCLARECIMENTO</w:t>
      </w:r>
    </w:p>
    <w:p>
      <w:pPr>
        <w:pStyle w:val="ListParagraph"/>
        <w:spacing w:lineRule="auto" w:line="276"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0" w:after="0"/>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22. DAS DISPOSIÇÕES GERAIS</w:t>
      </w:r>
    </w:p>
    <w:p>
      <w:pPr>
        <w:pStyle w:val="Normal"/>
        <w:spacing w:lineRule="auto" w:line="276"/>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0" w:name="_Hlk123138684_Copia_3"/>
      <w:r>
        <w:rPr>
          <w:rFonts w:cs="Arial" w:ascii="Verdana" w:hAnsi="Verdana"/>
          <w:color w:val="000000"/>
          <w:sz w:val="20"/>
          <w:szCs w:val="20"/>
          <w:u w:val="single"/>
        </w:rPr>
        <w:t>www.portaldecompraspublicas.com.br</w:t>
      </w:r>
      <w:bookmarkEnd w:id="20"/>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jc w:val="both"/>
        <w:rPr>
          <w:rFonts w:ascii="Verdana" w:hAnsi="Verdana"/>
          <w:sz w:val="20"/>
          <w:szCs w:val="20"/>
        </w:rPr>
      </w:pPr>
      <w:r>
        <w:rPr>
          <w:rFonts w:cs="Arial" w:ascii="Verdana" w:hAnsi="Verdana"/>
          <w:color w:val="000000"/>
          <w:sz w:val="20"/>
          <w:szCs w:val="20"/>
        </w:rPr>
        <w:t>22.12.2 ANEXO I-1 – Estudo Técnico Preliminar;</w:t>
      </w:r>
    </w:p>
    <w:p>
      <w:pPr>
        <w:pStyle w:val="Normal"/>
        <w:spacing w:lineRule="auto" w:line="276"/>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left="360"/>
        <w:jc w:val="center"/>
        <w:outlineLvl w:val="0"/>
        <w:rPr>
          <w:rFonts w:ascii="Verdana" w:hAnsi="Verdana"/>
          <w:sz w:val="20"/>
          <w:szCs w:val="20"/>
        </w:rPr>
      </w:pPr>
      <w:r>
        <w:rPr>
          <w:rFonts w:cs="Arial" w:ascii="Verdana" w:hAnsi="Verdana"/>
          <w:color w:val="000000"/>
          <w:sz w:val="20"/>
          <w:szCs w:val="20"/>
        </w:rPr>
        <w:t>São Gabriel da Palha/ES, 22 de julho de 2025.</w:t>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right="113"/>
        <w:jc w:val="center"/>
        <w:outlineLvl w:val="0"/>
        <w:rPr>
          <w:rFonts w:ascii="Verdana" w:hAnsi="Verdana"/>
          <w:sz w:val="20"/>
          <w:szCs w:val="20"/>
        </w:rPr>
      </w:pPr>
      <w:r>
        <w:rPr>
          <w:rFonts w:eastAsia="" w:cs="Arial" w:ascii="Verdana" w:hAnsi="Verdana" w:eastAsiaTheme="majorEastAsia"/>
          <w:b/>
          <w:bCs/>
          <w:color w:val="000000"/>
          <w:sz w:val="20"/>
          <w:szCs w:val="20"/>
        </w:rPr>
        <w:t>MAIKEL PAIVA</w:t>
      </w:r>
    </w:p>
    <w:p>
      <w:pPr>
        <w:pStyle w:val="Normal"/>
        <w:keepNext w:val="true"/>
        <w:keepLines/>
        <w:numPr>
          <w:ilvl w:val="0"/>
          <w:numId w:val="0"/>
        </w:numPr>
        <w:tabs>
          <w:tab w:val="clear" w:pos="708"/>
          <w:tab w:val="left" w:pos="567" w:leader="none"/>
        </w:tabs>
        <w:ind w:right="113"/>
        <w:jc w:val="center"/>
        <w:outlineLvl w:val="0"/>
        <w:rPr>
          <w:rFonts w:ascii="Verdana" w:hAnsi="Verdana"/>
          <w:sz w:val="20"/>
          <w:szCs w:val="20"/>
        </w:rPr>
      </w:pPr>
      <w:r>
        <w:rPr>
          <w:rFonts w:eastAsia="" w:cs="Arial" w:ascii="Verdana" w:hAnsi="Verdana" w:eastAsiaTheme="majorEastAsia"/>
          <w:b/>
          <w:bCs/>
          <w:color w:val="000000"/>
          <w:sz w:val="20"/>
          <w:szCs w:val="20"/>
        </w:rPr>
        <w:t>Secretário Municipal de Obras e Desenvolvimento Urbano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Application>LibreOffice/24.2.6.2$Windows_X86_64 LibreOffice_project/ef66aa7e36a1bb8e65bfbc63aba53045a14d0871</Application>
  <AppVersion>15.0000</AppVersion>
  <Pages>16</Pages>
  <Words>8368</Words>
  <Characters>47304</Characters>
  <CharactersWithSpaces>55286</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2025-07-22T14:35:00Z</cp:lastPrinted>
  <dcterms:modified xsi:type="dcterms:W3CDTF">2026-01-08T17:47:10Z</dcterms:modified>
  <cp:revision>199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